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7" w:type="pct"/>
        <w:tblInd w:w="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申报（推荐）齐鲁水利科学技术奖项目公示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奖种</w:t>
            </w:r>
          </w:p>
        </w:tc>
        <w:tc>
          <w:tcPr>
            <w:tcW w:w="4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齐鲁水利科技奖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济南市典型水环境生态质量评估及生态调控技术研究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成果权属</w:t>
            </w:r>
          </w:p>
        </w:tc>
        <w:tc>
          <w:tcPr>
            <w:tcW w:w="4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济南市水文中心、山东省水文中心、大连海洋大学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完成单位名称</w:t>
            </w:r>
          </w:p>
        </w:tc>
        <w:tc>
          <w:tcPr>
            <w:tcW w:w="4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济南市水文中心、山东省水文中心、大连海洋大学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完成人姓名</w:t>
            </w:r>
          </w:p>
        </w:tc>
        <w:tc>
          <w:tcPr>
            <w:tcW w:w="4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侯恩光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商书芹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朱中竹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王帅帅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刘立稳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曹龙智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完成人所在单位公示内容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1.项目内容                                                                            2.完成人主要知识产权                                                                   3.完成人提供的论文、论著目录                                                           4.项目推广应用情况                                                                     5.其他（请列示）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公示内容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</w:trPr>
        <w:tc>
          <w:tcPr>
            <w:tcW w:w="8296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 xml:space="preserve">项目内容 </w:t>
            </w:r>
            <w:r>
              <w:t>（</w:t>
            </w:r>
            <w:r>
              <w:rPr>
                <w:rFonts w:hint="eastAsia"/>
              </w:rPr>
              <w:t>600字</w:t>
            </w:r>
            <w:r>
              <w:t>以内）</w:t>
            </w:r>
          </w:p>
          <w:p>
            <w:pPr>
              <w:spacing w:line="360" w:lineRule="auto"/>
              <w:ind w:right="97" w:rightChars="46" w:firstLine="420" w:firstLineChars="2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针对济南市“泉-湖-河-湿地”联动水系的生态退化问题，系统开展小清河、济西湿地、大明湖三大典型水体生态质量评估与调控技术研究。通过对济南市典型生态系统的水生态监测与评价，深入了解典型生态系统的基本状况、水环境质量、水生生物多样性以及生态系统的健康状况。研发针对性生态调控技术，同时结合通用生态调控技术，形成“分区管控-生态修复-智慧监测”三位一体治理方案。</w:t>
            </w:r>
          </w:p>
          <w:p>
            <w:pPr>
              <w:spacing w:line="360" w:lineRule="auto"/>
              <w:ind w:right="97" w:rightChars="46" w:firstLine="420" w:firstLineChars="2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创新点：（1）首次构建覆盖济南市不同类型水体（河流、湖泊、湿地）的多因子水生态健康评价体系，结合地方标准，集成理化指标与生物完整性，首次实现健康等级精准分类；（2）研发生态调控技术体系，因地制宜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提出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如生态浮岛+底质修复”组合等复合修复路径，提升水体生态恢复效率；（3）创新“项目+基地+培训”的科技转化机制，构建高校与地方协同联动的生态修复技术推广体系。</w:t>
            </w:r>
          </w:p>
          <w:p>
            <w:pPr>
              <w:spacing w:line="360" w:lineRule="auto"/>
              <w:ind w:right="97" w:rightChars="46" w:firstLine="420" w:firstLineChars="2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应用推广情况：项目成果提出在小清河、济西湿地与大明湖典型区段构建物理-化学-生物”协同调控技术示范，形成可复制、可推广的生态修复模式。依托培训与行业对接机制，项目成果已在水利与生态环保系统推广应用，助力济南市水生态修复与管理水平整体提升。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</w:pPr>
          </w:p>
        </w:tc>
      </w:tr>
    </w:tbl>
    <w:p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296" w:type="dxa"/>
          </w:tcPr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完成人主要知识产权</w:t>
            </w:r>
          </w:p>
          <w:tbl>
            <w:tblPr>
              <w:tblStyle w:val="4"/>
              <w:tblW w:w="5000" w:type="pct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3"/>
              <w:gridCol w:w="1076"/>
              <w:gridCol w:w="1215"/>
              <w:gridCol w:w="1013"/>
              <w:gridCol w:w="1175"/>
              <w:gridCol w:w="925"/>
              <w:gridCol w:w="1063"/>
              <w:gridCol w:w="910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423" w:type="pct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知识产权</w:t>
                  </w:r>
                </w:p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（标准）类别</w:t>
                  </w:r>
                </w:p>
              </w:tc>
              <w:tc>
                <w:tcPr>
                  <w:tcW w:w="667" w:type="pct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知识产权（标准）</w:t>
                  </w:r>
                </w:p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具体名称</w:t>
                  </w:r>
                </w:p>
              </w:tc>
              <w:tc>
                <w:tcPr>
                  <w:tcW w:w="753" w:type="pct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授权号</w:t>
                  </w:r>
                </w:p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（标准编号）</w:t>
                  </w:r>
                </w:p>
              </w:tc>
              <w:tc>
                <w:tcPr>
                  <w:tcW w:w="628" w:type="pct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授权（标准发布）日期</w:t>
                  </w:r>
                </w:p>
              </w:tc>
              <w:tc>
                <w:tcPr>
                  <w:tcW w:w="728" w:type="pct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证书编号（标准批准发布部门）</w:t>
                  </w:r>
                </w:p>
              </w:tc>
              <w:tc>
                <w:tcPr>
                  <w:tcW w:w="573" w:type="pct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权利人（标准起草单位）</w:t>
                  </w: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发明人</w:t>
                  </w:r>
                </w:p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（标准起草人）</w:t>
                  </w:r>
                </w:p>
              </w:tc>
              <w:tc>
                <w:tcPr>
                  <w:tcW w:w="564" w:type="pct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" w:hAnsi="仿宋" w:eastAsia="仿宋"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发明专利（标准）有效状态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42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标准</w:t>
                  </w:r>
                </w:p>
              </w:tc>
              <w:tc>
                <w:tcPr>
                  <w:tcW w:w="66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水生态健康评价规范</w:t>
                  </w:r>
                </w:p>
              </w:tc>
              <w:tc>
                <w:tcPr>
                  <w:tcW w:w="75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DB3701/T33—2022</w:t>
                  </w:r>
                </w:p>
              </w:tc>
              <w:tc>
                <w:tcPr>
                  <w:tcW w:w="62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2022年12月21日</w:t>
                  </w:r>
                </w:p>
              </w:tc>
              <w:tc>
                <w:tcPr>
                  <w:tcW w:w="72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济南市市场监督管理局</w:t>
                  </w:r>
                </w:p>
              </w:tc>
              <w:tc>
                <w:tcPr>
                  <w:tcW w:w="57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济南市水文中心</w:t>
                  </w: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侯恩光、黄曦涵、商书芹、殷旭旺等</w:t>
                  </w:r>
                </w:p>
              </w:tc>
              <w:tc>
                <w:tcPr>
                  <w:tcW w:w="564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42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新型实用专利</w:t>
                  </w:r>
                </w:p>
              </w:tc>
              <w:tc>
                <w:tcPr>
                  <w:tcW w:w="66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一种用于城市河流生态修复的水草打捞装置</w:t>
                  </w:r>
                </w:p>
              </w:tc>
              <w:tc>
                <w:tcPr>
                  <w:tcW w:w="75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CN 217298853 U</w:t>
                  </w:r>
                </w:p>
              </w:tc>
              <w:tc>
                <w:tcPr>
                  <w:tcW w:w="62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2022年8月26日</w:t>
                  </w:r>
                </w:p>
              </w:tc>
              <w:tc>
                <w:tcPr>
                  <w:tcW w:w="72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17271157</w:t>
                  </w:r>
                </w:p>
              </w:tc>
              <w:tc>
                <w:tcPr>
                  <w:tcW w:w="57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济南市水文中心</w:t>
                  </w: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商书芹、张玥彤、侯恩光、殷旭旺</w:t>
                  </w:r>
                </w:p>
              </w:tc>
              <w:tc>
                <w:tcPr>
                  <w:tcW w:w="564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42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新型实用专利</w:t>
                  </w:r>
                </w:p>
              </w:tc>
              <w:tc>
                <w:tcPr>
                  <w:tcW w:w="66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一体化浮游生物采集收集装置</w:t>
                  </w:r>
                </w:p>
              </w:tc>
              <w:tc>
                <w:tcPr>
                  <w:tcW w:w="75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CN 218418056 U</w:t>
                  </w:r>
                </w:p>
              </w:tc>
              <w:tc>
                <w:tcPr>
                  <w:tcW w:w="62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2023年2月3日</w:t>
                  </w:r>
                </w:p>
              </w:tc>
              <w:tc>
                <w:tcPr>
                  <w:tcW w:w="72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18413836</w:t>
                  </w:r>
                </w:p>
              </w:tc>
              <w:tc>
                <w:tcPr>
                  <w:tcW w:w="57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济南市水文中心</w:t>
                  </w: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侯恩光、邵灵玉、王帅帅、商书芹、殷旭旺</w:t>
                  </w:r>
                </w:p>
              </w:tc>
              <w:tc>
                <w:tcPr>
                  <w:tcW w:w="564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42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新型实用专利</w:t>
                  </w:r>
                </w:p>
              </w:tc>
              <w:tc>
                <w:tcPr>
                  <w:tcW w:w="66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一种浮游植物沉淀物收集装置</w:t>
                  </w:r>
                </w:p>
              </w:tc>
              <w:tc>
                <w:tcPr>
                  <w:tcW w:w="75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CN 218421191 U</w:t>
                  </w:r>
                </w:p>
              </w:tc>
              <w:tc>
                <w:tcPr>
                  <w:tcW w:w="62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2023年2月3日</w:t>
                  </w:r>
                </w:p>
              </w:tc>
              <w:tc>
                <w:tcPr>
                  <w:tcW w:w="72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18403408</w:t>
                  </w:r>
                </w:p>
              </w:tc>
              <w:tc>
                <w:tcPr>
                  <w:tcW w:w="57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济南市水文中心</w:t>
                  </w: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侯恩光、苏航、韩晓、谭璐、殷旭旺</w:t>
                  </w:r>
                </w:p>
              </w:tc>
              <w:tc>
                <w:tcPr>
                  <w:tcW w:w="564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42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新型实用专利</w:t>
                  </w:r>
                </w:p>
              </w:tc>
              <w:tc>
                <w:tcPr>
                  <w:tcW w:w="66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一种大型底栖无脊椎动物筛选分洗装置</w:t>
                  </w:r>
                </w:p>
              </w:tc>
              <w:tc>
                <w:tcPr>
                  <w:tcW w:w="75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CN 219052072 U</w:t>
                  </w:r>
                </w:p>
              </w:tc>
              <w:tc>
                <w:tcPr>
                  <w:tcW w:w="62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2023年5月23日</w:t>
                  </w:r>
                </w:p>
              </w:tc>
              <w:tc>
                <w:tcPr>
                  <w:tcW w:w="72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19035806</w:t>
                  </w:r>
                </w:p>
              </w:tc>
              <w:tc>
                <w:tcPr>
                  <w:tcW w:w="573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济南市水文中心</w:t>
                  </w: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侯恩光、邵灵玉、王帅帅、谭璐、殷旭旺</w:t>
                  </w:r>
                </w:p>
              </w:tc>
              <w:tc>
                <w:tcPr>
                  <w:tcW w:w="564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有效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296" w:type="dxa"/>
          </w:tcPr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完成人提供的论文、论著目录</w:t>
            </w:r>
          </w:p>
          <w:tbl>
            <w:tblPr>
              <w:tblStyle w:val="5"/>
              <w:tblW w:w="80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2"/>
              <w:gridCol w:w="3150"/>
              <w:gridCol w:w="1413"/>
              <w:gridCol w:w="812"/>
              <w:gridCol w:w="18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napToGrid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 w:val="0"/>
                      <w:sz w:val="24"/>
                      <w:szCs w:val="24"/>
                      <w:vertAlign w:val="baseline"/>
                      <w:lang w:eastAsia="zh-CN"/>
                    </w:rPr>
                    <w:t>序号</w:t>
                  </w:r>
                </w:p>
              </w:tc>
              <w:tc>
                <w:tcPr>
                  <w:tcW w:w="31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napToGrid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 w:val="0"/>
                      <w:sz w:val="24"/>
                      <w:szCs w:val="24"/>
                      <w:vertAlign w:val="baseline"/>
                      <w:lang w:eastAsia="zh-CN"/>
                    </w:rPr>
                    <w:t>论文、著作名称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napToGrid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 w:val="0"/>
                      <w:sz w:val="24"/>
                      <w:szCs w:val="24"/>
                      <w:vertAlign w:val="baseline"/>
                      <w:lang w:eastAsia="zh-CN"/>
                    </w:rPr>
                    <w:t>发表刊物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napToGrid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 w:val="0"/>
                      <w:sz w:val="24"/>
                      <w:szCs w:val="24"/>
                      <w:vertAlign w:val="baseline"/>
                      <w:lang w:eastAsia="zh-CN"/>
                    </w:rPr>
                    <w:t>发表时间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napToGrid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 w:val="0"/>
                      <w:sz w:val="24"/>
                      <w:szCs w:val="24"/>
                      <w:vertAlign w:val="baseline"/>
                      <w:lang w:eastAsia="zh-CN"/>
                    </w:rPr>
                    <w:t>作者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济南市济西湿地浮游生物群落时空分布及功能群特征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大连海洋大学学报</w:t>
                  </w:r>
                </w:p>
              </w:tc>
              <w:tc>
                <w:tcPr>
                  <w:tcW w:w="8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侯恩光,商书芹,关思思,等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春季小清河流域浮游植物功能群与水环境因子的关系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水产学杂志</w:t>
                  </w:r>
                </w:p>
              </w:tc>
              <w:tc>
                <w:tcPr>
                  <w:tcW w:w="8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相华,郭伟,窦冰,等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aps w:val="0"/>
                      <w:color w:val="222222"/>
                      <w:spacing w:val="0"/>
                      <w:sz w:val="24"/>
                      <w:szCs w:val="24"/>
                      <w:shd w:val="clear" w:color="auto" w:fill="FBFBFB"/>
                    </w:rPr>
                    <w:t>Relationship between phytoplankton community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aps w:val="0"/>
                      <w:color w:val="222222"/>
                      <w:spacing w:val="0"/>
                      <w:sz w:val="24"/>
                      <w:szCs w:val="24"/>
                      <w:shd w:val="clear" w:color="auto" w:fill="FBFBFB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aps w:val="0"/>
                      <w:color w:val="222222"/>
                      <w:spacing w:val="0"/>
                      <w:sz w:val="24"/>
                      <w:szCs w:val="24"/>
                      <w:shd w:val="clear" w:color="auto" w:fill="FBFBFB"/>
                    </w:rPr>
                    <w:t>and environmental factors in spring in Jinan, China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aps w:val="0"/>
                      <w:color w:val="222222"/>
                      <w:spacing w:val="0"/>
                      <w:sz w:val="24"/>
                      <w:szCs w:val="24"/>
                      <w:shd w:val="clear" w:color="auto" w:fill="FBFBFB"/>
                    </w:rPr>
                    <w:t>IOP Conference Series: Earth and Environmental Science. IOP Publishing</w:t>
                  </w:r>
                </w:p>
              </w:tc>
              <w:tc>
                <w:tcPr>
                  <w:tcW w:w="8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2021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aps w:val="0"/>
                      <w:color w:val="222222"/>
                      <w:spacing w:val="0"/>
                      <w:sz w:val="24"/>
                      <w:szCs w:val="24"/>
                      <w:shd w:val="clear" w:color="auto" w:fill="FBFBFB"/>
                    </w:rPr>
                    <w:t>Xiang H, Han X, Shang S, et al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济南济西湿地公园浮游动物功能类群及其对环境因子的响应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水生态学杂志</w:t>
                  </w:r>
                </w:p>
              </w:tc>
              <w:tc>
                <w:tcPr>
                  <w:tcW w:w="8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商书芹,贾丽,王帅帅,等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底栖动物功能摄食类群与环境因子的关系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人民黄河</w:t>
                  </w:r>
                </w:p>
              </w:tc>
              <w:tc>
                <w:tcPr>
                  <w:tcW w:w="8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2021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商书芹,相华,郭伟,等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济南鱼类功能群特征及其与水环境因子关系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人民黄河</w:t>
                  </w:r>
                </w:p>
              </w:tc>
              <w:tc>
                <w:tcPr>
                  <w:tcW w:w="8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商书芹,相华,曹龙智,等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济南地区浮游动物群落结构与环境因子关系研究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人民黄河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相华,贾丽,冯新华,等.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济西国家湿地浮游植物群落结构及水质响应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环境监控与预警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王帅帅,相华,朱中竹,等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丰、枯水期济南地区地表水系鱼类群落结构特征及其与环境因子的关系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水产科技情报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</w:rPr>
                    <w:t>王汨,杨柏贺,马思琦,等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小清河流域夏季浮游植物功能群与环境因子的关系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水产科技情报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2020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王汨,马思琦,杨柏贺,等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济南春季鱼类群落与水环境因子的关系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河北渔业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2020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朱中竹,王瑾,宋瑞华,等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城市水生态系统健康评价与修复对策研究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中国水利水电出版社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2021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相华,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殷旭旺，商书芹，王汨等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bidi w:val="0"/>
              <w:ind w:firstLine="547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296" w:type="dxa"/>
          </w:tcPr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项目推广应用情况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default" w:ascii="仿宋_GB2312" w:eastAsia="仿宋_GB2312"/>
                <w:b/>
                <w:bCs/>
                <w:snapToGrid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项目成果提出在小清河、济西湿地与大明湖典型区段构建物理-化学-生物”协同调控技术示范，形成可复制、可推广的生态修复模式。项目成果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小清河、大明湖和济西国家湿地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水生态修复与管理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提供支撑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经过济南市城乡水务局、济南天下第一泉风景区服务中心等主管单位应用验证，社会生态效益显著。</w:t>
            </w:r>
          </w:p>
          <w:p>
            <w:pPr>
              <w:spacing w:line="360" w:lineRule="auto"/>
              <w:ind w:right="97" w:rightChars="46" w:firstLine="42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drawing>
                <wp:inline distT="0" distB="0" distL="114300" distR="114300">
                  <wp:extent cx="5127625" cy="7030720"/>
                  <wp:effectExtent l="0" t="0" r="15875" b="177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625" cy="703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5010150" cy="72485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0" cy="724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29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5.其他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3377"/>
    <w:multiLevelType w:val="multilevel"/>
    <w:tmpl w:val="52FB337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AF"/>
    <w:rsid w:val="00005AF3"/>
    <w:rsid w:val="00146BCF"/>
    <w:rsid w:val="00304FFC"/>
    <w:rsid w:val="004B451B"/>
    <w:rsid w:val="004C3CCD"/>
    <w:rsid w:val="007018AF"/>
    <w:rsid w:val="009054CB"/>
    <w:rsid w:val="00A03A72"/>
    <w:rsid w:val="00A52C0B"/>
    <w:rsid w:val="00AD558A"/>
    <w:rsid w:val="00AF6B8C"/>
    <w:rsid w:val="00B00023"/>
    <w:rsid w:val="00C526A0"/>
    <w:rsid w:val="00CD4AD2"/>
    <w:rsid w:val="00FD15A5"/>
    <w:rsid w:val="02353A89"/>
    <w:rsid w:val="06F3181D"/>
    <w:rsid w:val="1EE73F05"/>
    <w:rsid w:val="2471674B"/>
    <w:rsid w:val="28441A80"/>
    <w:rsid w:val="28E15521"/>
    <w:rsid w:val="297E0FC2"/>
    <w:rsid w:val="2C0A4D8F"/>
    <w:rsid w:val="2CCA2E9C"/>
    <w:rsid w:val="2CE13D42"/>
    <w:rsid w:val="31DE2F46"/>
    <w:rsid w:val="36D668E1"/>
    <w:rsid w:val="47280A93"/>
    <w:rsid w:val="49831FB1"/>
    <w:rsid w:val="532C190B"/>
    <w:rsid w:val="55D4467F"/>
    <w:rsid w:val="598D0C2A"/>
    <w:rsid w:val="5C4C6B7A"/>
    <w:rsid w:val="609D1752"/>
    <w:rsid w:val="676B07FC"/>
    <w:rsid w:val="681C5653"/>
    <w:rsid w:val="69EE74C3"/>
    <w:rsid w:val="6A1707C7"/>
    <w:rsid w:val="71E73175"/>
    <w:rsid w:val="75BA64AB"/>
    <w:rsid w:val="7F01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88D8D-1907-495A-84CA-0374A24B1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199</Words>
  <Characters>213</Characters>
  <Lines>5</Lines>
  <Paragraphs>1</Paragraphs>
  <TotalTime>22</TotalTime>
  <ScaleCrop>false</ScaleCrop>
  <LinksUpToDate>false</LinksUpToDate>
  <CharactersWithSpaces>687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2020-06-15T02:25:00Z</dcterms:created>
  <dc:creator>gyr</dc:creator>
  <cp:lastModifiedBy>周晓锐</cp:lastModifiedBy>
  <dcterms:modified xsi:type="dcterms:W3CDTF">2025-07-27T08:38:03Z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eyJoZGlkIjoiOGM4OGEyYmJhMzRiZjg5YTc4YWJkYjFjMWEwM2NlNWUiLCJ1c2VySWQiOiI2MDQ0MzU0NjQifQ==</vt:lpwstr>
  </property>
  <property fmtid="{D5CDD505-2E9C-101B-9397-08002B2CF9AE}" pid="3" name="KSOProductBuildVer">
    <vt:lpwstr>2052-11.1.0.9662</vt:lpwstr>
  </property>
  <property fmtid="{D5CDD505-2E9C-101B-9397-08002B2CF9AE}" pid="4" name="ICV">
    <vt:lpwstr>2CE60A91A55E4F3A990770E044C5BAA8_12</vt:lpwstr>
  </property>
</Properties>
</file>