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val="en-US" w:eastAsia="zh-CN"/>
        </w:rPr>
      </w:pPr>
    </w:p>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关于组织开展职务专利拍卖活动的通知</w:t>
      </w:r>
    </w:p>
    <w:p>
      <w:pPr>
        <w:ind w:left="0" w:leftChars="0" w:firstLine="640" w:firstLineChars="200"/>
        <w:rPr>
          <w:rFonts w:hint="eastAsia" w:ascii="仿宋_GB2312" w:hAnsi="仿宋_GB2312" w:eastAsia="仿宋_GB2312" w:cs="仿宋_GB2312"/>
          <w:sz w:val="32"/>
          <w:szCs w:val="32"/>
          <w:lang w:val="en-US" w:eastAsia="zh-CN"/>
        </w:rPr>
      </w:pP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为贯彻落实省委巡视反馈意见及科技成果转化专项审计反馈意见精神，加快推进我校职务专利成果转化，近期，我校将集中组织开展职务发明专利拍卖活动，现将有关事宜通知如下：</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本次组织参加拍卖活动的专利原则上应为我校已授权，且法律状态为有效的发明专利（见附件1）。处置方式包括：转让和许可两类，期望采用许可方式处置的，应另附文档予以说明具体的许可要求。</w:t>
      </w:r>
    </w:p>
    <w:p>
      <w:pPr>
        <w:numPr>
          <w:ilvl w:val="0"/>
          <w:numId w:val="1"/>
        </w:numPr>
        <w:ind w:left="0" w:leftChars="0" w:firstLine="640" w:firstLineChars="2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32"/>
          <w:szCs w:val="32"/>
          <w:lang w:val="en-US" w:eastAsia="zh-CN"/>
        </w:rPr>
        <w:t>由符合条件的职务专利发明人自主决定是否参加专利拍卖活动。根据我校相关规定，职务专利的第一顺位发明人为该职务专利权处置的校内负责人，由其代表行使全体发明人权益。各参加专利拍卖活动的专利第一发明人应取得全体发明人的一致授权同意，或由全体发明人推荐其他发明人作为该职务专利处置的校内负责人。</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中的职务发明专利校内负责人决定参加拍卖活动的，应于5月28日前提交《大连海洋大学职务专利处置申请表》（见附件2）。并承诺接受拍卖成交价格即为该专利权的处置价格；同意拍卖成交价格的10%计入专利转让成本，并在计算收益分配前扣除；同意按照大连海洋大学相关规定进行收益分配，并不再向学校声索其它权益。</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中的职务发明专利校内负责人不决定参加本轮拍卖活动的，应于5月28日前提交《大连海洋大学职务专利暂缓处置申请表》（见附件3）。并承诺该专利权有效期间，该专利的权利维持费（年费）仅由发明人所承担的相关横向科研项目经费列支，无相关横向科研项目经费可列支时，由发明人个人支付；该专利权取得收益前，不向学校声索其它权益。</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本次拍卖活动，学校将联合历次举行蓝海行动活动的地方政府共同组织，计划共同组织开展线上线下相结合的专利拍卖活动。</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由与我校职工共有的职务发明专利，可正常参加本次拍卖活动。由我校与其它法人单位共有的职务发明专利，原则上不参加本次拍卖活动。</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本次职务专利拍卖所得，按照国家、省有关文件精神及我校有关文件规定进行分配，本次拍卖成交后产生的10%服务费和拍卖佣金，计入交易成本，在计算受益分配前扣除。</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联系人：韩蕾  84763197</w:t>
      </w:r>
    </w:p>
    <w:p>
      <w:pPr>
        <w:numPr>
          <w:ilvl w:val="0"/>
          <w:numId w:val="0"/>
        </w:numPr>
        <w:ind w:left="0" w:leftChars="0"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周晓锐  84762670</w:t>
      </w:r>
    </w:p>
    <w:p>
      <w:pPr>
        <w:numPr>
          <w:ilvl w:val="0"/>
          <w:numId w:val="0"/>
        </w:num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Email：kyc@dlou.edu.cn</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科技处</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2020年5月19日</w:t>
      </w:r>
    </w:p>
    <w:p>
      <w:pPr>
        <w:numPr>
          <w:ilvl w:val="0"/>
          <w:numId w:val="0"/>
        </w:num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2"/>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43"/>
        <w:gridCol w:w="2553"/>
        <w:gridCol w:w="1250"/>
        <w:gridCol w:w="2050"/>
        <w:gridCol w:w="15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blHeader/>
        </w:trPr>
        <w:tc>
          <w:tcPr>
            <w:tcW w:w="543" w:type="dxa"/>
            <w:shd w:val="clear" w:color="auto" w:fill="33CCCC"/>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2553" w:type="dxa"/>
            <w:shd w:val="clear" w:color="auto" w:fill="33CCCC"/>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专利名称</w:t>
            </w:r>
          </w:p>
        </w:tc>
        <w:tc>
          <w:tcPr>
            <w:tcW w:w="1250" w:type="dxa"/>
            <w:shd w:val="clear" w:color="auto" w:fill="33CCCC"/>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申请人</w:t>
            </w:r>
          </w:p>
        </w:tc>
        <w:tc>
          <w:tcPr>
            <w:tcW w:w="2050" w:type="dxa"/>
            <w:shd w:val="clear" w:color="auto" w:fill="33CCCC"/>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申请号</w:t>
            </w:r>
          </w:p>
        </w:tc>
        <w:tc>
          <w:tcPr>
            <w:tcW w:w="1550" w:type="dxa"/>
            <w:shd w:val="clear" w:color="auto" w:fill="33CCCC"/>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申请日</w:t>
            </w:r>
          </w:p>
        </w:tc>
        <w:tc>
          <w:tcPr>
            <w:tcW w:w="1417" w:type="dxa"/>
            <w:shd w:val="clear" w:color="auto" w:fill="33CCCC"/>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虾类长度测量装置</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CN201610965673.X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基于变分模态分解的电网谐波检测方法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CN201711297045.X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2017-12-8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水产养殖及净化一体设备</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CN201710557375.1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2017-7-10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高压电场辅助的适低温微藻繁育方法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胡玉才</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CN201610531835.9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用于红鳍东方鲀苗种筛选的SNP引物及筛选方法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CN201610722195.X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2016-8-25</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高油脂含量微藻体的培养方法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胡玉才</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CN201610535230.7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治疗糖尿病的药物及制备方法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佟长青</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CN201610511752.3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2016-7-1</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基于养殖海域底层海水开发利用的扇贝海上暂养净化系统</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CN201611147021.1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2016-12-13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早期筛选中间球海胆良种的SNP引物及筛选方法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CN201610385880.8</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2016-6-3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筛选红鳍东方鲀苗种的SNP引物及筛选方法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CN201610721785.0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2016-8-25</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用于扇贝捕捞的生态型惊扰装置</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CN201710242919.5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2017-4-14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微晶纤维素的制备方法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CN201611099435.1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2016-12-5</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一种半潜式消浪装置及消浪方法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CN201610951820.8</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海水大棚以及利用该大棚进行综合生态养殖的方法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CN201611061335.X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2016-11-28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灿烂弧菌胶体金免疫层析试纸条及制备方法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CN201710795942.7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2017-9-6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底栖硅藻培育水池以及利用该水池进行刺参、海胆幼苗混养的方法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CN201611061260.5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2016-11-28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在弹性体PDMS表面构筑形貌可控的条纹状微结构的方法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CN201610866748.9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一种检测海洋生物体内塑料含量的方法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CN201610866749.3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可避免大型藻类泛滥的刺参池塘分段式混养方法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山东省友发水产有限公司</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CN201510875792.1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提高虾夷扇贝高温耐受的杂交育种方法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CN201610274831.7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2016-4-28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活鱼振动分选筛</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CN201611037342.6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鱼脑磷脂提取物及其在制备免疫调节剂中的应用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卢航; 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CN201510363668.7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2015-6-26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牡蛎多糖的制备方法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佟长青</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CN201610603766.8</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2016-7-28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一种大型海藻游孢子附着观察与计数装置</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CN201610903202.6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2016-10-17</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耐高温海胆的培育方法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CN201610070062.9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2016-2-1</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一种用于枝角类活体分级的装置及分级方法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CN201610853422.2</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2016-9-27</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壳宽型菲律宾蛤仔品系制种方法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CN201510230047.1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2015-5-8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可提高养殖鱼体体质的养殖装置及利用该装置提高鱼体体质的方法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CN201510579391.1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2015-9-14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一种海绵细胞膜提取物及其作为血管紧张素转化酶抑制剂的应用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孔亮</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CN201410840767.5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海胆养殖网袋结构以及利用该网袋结构进行海胆家系稚、幼胆培育的方法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CN201510874446.1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胶体金层析试纸条金标垫的处理方法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李强</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CN201610306907.X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2016-5-11</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海上浮标附着物清除设备</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CN201610324757.5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2016-5-17</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大型藻类周围群落生物样品处理方法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CN201510568471.7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2015-9-9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棘皮动物BLUP方法育种过程中个体标记方法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山东省友发水产有限公司</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CN201510874116.2</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双阶段冰</w:t>
            </w:r>
            <w:r>
              <w:rPr>
                <w:rFonts w:hint="eastAsia" w:ascii="微软雅黑" w:hAnsi="微软雅黑" w:eastAsia="微软雅黑" w:cs="微软雅黑"/>
                <w:i w:val="0"/>
                <w:color w:val="000000"/>
                <w:kern w:val="0"/>
                <w:sz w:val="20"/>
                <w:szCs w:val="20"/>
                <w:u w:val="none"/>
                <w:lang w:val="en-US" w:eastAsia="zh-CN" w:bidi="ar"/>
              </w:rPr>
              <w:noBreakHyphen/>
            </w:r>
            <w:r>
              <w:rPr>
                <w:rFonts w:hint="eastAsia" w:ascii="微软雅黑" w:hAnsi="微软雅黑" w:eastAsia="微软雅黑" w:cs="微软雅黑"/>
                <w:i w:val="0"/>
                <w:color w:val="000000"/>
                <w:kern w:val="0"/>
                <w:sz w:val="20"/>
                <w:szCs w:val="20"/>
                <w:u w:val="none"/>
                <w:lang w:val="en-US" w:eastAsia="zh-CN" w:bidi="ar"/>
              </w:rPr>
              <w:t>低温热泵联合干燥装置</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张国琛</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CN201510903304.3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一种海参源枯草芽孢杆菌及其应用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张付云</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CN201310034682.3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一种海洋厌氧氨氧化菌的富集培养方法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张蕾</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CN201410594389.7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2014-10-30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一种可在船舶摇晃环境下进行称量的称量系统及称量方法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CN201410839198.2</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利用一龄虾夷扇贝进行育种的方法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CN201510294317.5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2015-6-2</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柔性悬链线盖板式液舱制荡装置</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陈静</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CN201410749775.9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2014-12-10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海珍品采捕机器人</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獐子岛集团股份有限公司; 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CN201410686861.X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2014-11-26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一种海带内生坚强芽孢杆菌蛋白及其在抗肿瘤方面的应用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张付云</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CN201310034683.8</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养殖池塘分层采水设备</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周玮</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CN201410253487.4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2014-6-10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复杂样品中6种磷脂的多重检测方法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卢航; 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CN201510359521.0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2015-6-26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一种帘蛤科贝类亲本的性别鉴定方法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CN201410202435.4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2014-5-14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环阿尔廷型三萜化合物在制备抗肺癌药物中的应用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谭成玉</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CN201410393799.5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2014-8-12</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用微绿球藻防控海水养殖池塘爆发敌害藻类的方法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殷旭旺</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CN201410365006.9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养殖池塘专用喷头</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大连市水产产业技术创新联合会</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CN201410415430.X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2014-8-22</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利用藻渣制备吸油材料的方法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张国琛</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CN201310689857.4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2013-12-16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在室内提高菲律宾蛤仔体内DHA含量的方法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殷旭旺</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CN201410364965.9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四倍体泥鳅鳍细胞系TEMF及其建立方法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CN201310538211.6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速干无尘黑板擦</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CN201310749294.3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2013-12-31</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一种螠蛏源蜂房芽孢杆菌蛋白及其在保鲜方面的应用和应用方法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张付云</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CN201310034691.2</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一种安全高效无毒害的新型海胆内源性催产剂</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CN201410456792.3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2014-9-10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检测太平洋鳕神经坏死病毒用试剂盒</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毛明光</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CN201410368037.X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2014-7-30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磺胺嘧啶分子印迹整体柱的制备方法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孔亮</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CN201210441498.6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2012-11-8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牡蛎多糖的制备方法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佟长青</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CN201410060964.5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2014-2-24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一种荚膜红细菌及其应用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大连市水产技术推广总站; 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CN201310501364.3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一种杂色蛤Ruditapes variegata的人工繁育方法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CN201410036946.3</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一种菲律宾蛤仔的繁育方法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闫喜武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CN201410075131.6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2014-3-4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用石莼防控刺参养殖池塘爆发刚毛藻和/或浒苔的方法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殷旭旺</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CN201410364588.9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水产动物浮游幼体培育密度测量方法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CN201310720505.0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2013-12-24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盐沉结合电渗析分离纯化岩藻聚糖硫酸酯方法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汪秋宽</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CN201210325802.0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2012-9-6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推拉门窗毛条更换器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宋维波</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CN201410038747.6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2014-1-27</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多参数多功能水生动物代谢水平测定仪及测定方法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大连汇新钛设备开发有限公司</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CN201410341505.4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2014-7-16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海胆开壳器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宋维波</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CN201410038748.0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2014-1-27</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一种性能测定与留种相分离的水产动物育种方法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CN201410004163.7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海胆开壳餐具</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宋维波</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CN201410064954.9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2014-2-26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低温诱导红鳍东方鲀雄性化的方法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李雅娟</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CN201310018026.4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一种杂色蛤与菲律宾蛤的人工种间杂交方法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CN201410036641.2</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生物絮团过滤器</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CN201410106053.1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2014-3-21</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富含膳食纤维的海带酱</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汪秋宽</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CN201210325883.4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2012-9-6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黄海希瓦氏菌胶体金免疫层析试纸条及制备方法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CN201310218943.7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2013-6-4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海带藻渣两相厌氧发酵产沼气的方法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李秀辰</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CN201310020212.1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2013-1-21</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鮰爱德华菌胶体金免疫层析试纸条及制备方法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李强</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CN201310218944.1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2013-6-4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海参肽提取液的生产方法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CN201210053085.0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2012-3-2</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水产动物受精卵离体孵化装置</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姜玉声</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CN201310046994.6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长蛸工厂化繁育方法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CN201310301628.0</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2013-7-18</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富含海带膳食纤维的膨化食品及其生产方法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汪秋宽</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CN201210325804.X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2012-9-6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细菌-翅碱蓬互生载体修复镉或/和铜污染海水的方法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王斌</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CN201310218200.X</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2013-6-4</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牡蛎多糖酒</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 曲敏</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CN201310141056.4</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2013-4-23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82</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一种适合岩虫人工养殖的复合底质及构造方法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CN200810246944.1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2008-12-23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83</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铅离子印迹整体柱及制备方法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CN201010563168.5</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2010-11-29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岩虫-江蓠-海参池塘混合养殖方法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CN201310046452.9</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2013-2-6</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水产品保鲜剂</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CN201110320384.1</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2011-10-20</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86</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长效抗菌的有机硅橡胶材料及制备方法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CN201110195614.6</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2011-7-13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87</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一种岩虫工厂化人工育苗方法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CN200810246943.7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2008-12-23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88</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海水池塘养殖病害的预报方法</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CN201010562516.7</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2010-11-29</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4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89</w:t>
            </w:r>
          </w:p>
        </w:tc>
        <w:tc>
          <w:tcPr>
            <w:tcW w:w="255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一种适合岩虫人工养殖的全价配合饲料</w:t>
            </w:r>
          </w:p>
        </w:tc>
        <w:tc>
          <w:tcPr>
            <w:tcW w:w="12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大连海洋大学</w:t>
            </w:r>
          </w:p>
        </w:tc>
        <w:tc>
          <w:tcPr>
            <w:tcW w:w="20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CN200810246942.2</w:t>
            </w:r>
          </w:p>
        </w:tc>
        <w:tc>
          <w:tcPr>
            <w:tcW w:w="15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2008-12-23</w:t>
            </w:r>
          </w:p>
        </w:tc>
        <w:tc>
          <w:tcPr>
            <w:tcW w:w="14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2013-10-23</w:t>
            </w:r>
          </w:p>
        </w:tc>
      </w:tr>
    </w:tbl>
    <w:p>
      <w:pPr>
        <w:numPr>
          <w:ilvl w:val="0"/>
          <w:numId w:val="0"/>
        </w:numPr>
        <w:rPr>
          <w:rFonts w:hint="default" w:ascii="仿宋_GB2312" w:hAnsi="仿宋_GB2312" w:eastAsia="仿宋_GB2312" w:cs="仿宋_GB2312"/>
          <w:sz w:val="32"/>
          <w:szCs w:val="32"/>
          <w:lang w:val="en-US" w:eastAsia="zh-CN"/>
        </w:rPr>
        <w:sectPr>
          <w:pgSz w:w="11906" w:h="16838"/>
          <w:pgMar w:top="1440" w:right="1066" w:bottom="1440" w:left="1380" w:header="851" w:footer="992" w:gutter="0"/>
          <w:cols w:space="425" w:num="1"/>
          <w:docGrid w:type="lines" w:linePitch="312" w:charSpace="0"/>
        </w:sect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numPr>
          <w:ilvl w:val="0"/>
          <w:numId w:val="0"/>
        </w:numPr>
        <w:jc w:val="center"/>
        <w:rPr>
          <w:rFonts w:hint="eastAsia" w:ascii="仿宋_GB2312" w:hAnsi="仿宋_GB2312" w:eastAsia="仿宋_GB2312" w:cs="仿宋_GB2312"/>
          <w:sz w:val="32"/>
          <w:szCs w:val="32"/>
          <w:lang w:val="en-US" w:eastAsia="zh-CN"/>
        </w:rPr>
      </w:pPr>
      <w:r>
        <w:rPr>
          <w:rFonts w:hint="eastAsia" w:ascii="华文中宋" w:hAnsi="华文中宋" w:eastAsia="华文中宋" w:cs="华文中宋"/>
          <w:sz w:val="32"/>
          <w:szCs w:val="32"/>
          <w:lang w:val="en-US" w:eastAsia="zh-CN"/>
        </w:rPr>
        <w:t>大连海洋大学职务专利处置申请表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500"/>
        <w:gridCol w:w="3900"/>
        <w:gridCol w:w="180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专利名称</w:t>
            </w: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专利类型</w:t>
            </w: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申请日</w:t>
            </w: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授权公告日</w:t>
            </w: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权利人</w:t>
            </w:r>
          </w:p>
        </w:tc>
        <w:tc>
          <w:tcPr>
            <w:tcW w:w="7887" w:type="dxa"/>
            <w:gridSpan w:val="4"/>
          </w:tcPr>
          <w:p>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大连海洋大学</w:t>
            </w:r>
          </w:p>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（签字）</w:t>
            </w:r>
            <w:r>
              <w:rPr>
                <w:rFonts w:hint="eastAsia" w:ascii="黑体" w:hAnsi="黑体" w:eastAsia="黑体" w:cs="黑体"/>
                <w:sz w:val="21"/>
                <w:szCs w:val="21"/>
                <w:vertAlign w:val="baseline"/>
                <w:lang w:val="en-US" w:eastAsia="zh-CN"/>
              </w:rPr>
              <w:t>注：第一发明人为权利人时，本人须签字确认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9676" w:type="dxa"/>
            <w:gridSpan w:val="5"/>
          </w:tcPr>
          <w:p>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经全体发明人研究，兹同意本专利参加学校组织的专利拍卖活动，并做出如下声明：</w:t>
            </w:r>
          </w:p>
          <w:p>
            <w:pPr>
              <w:numPr>
                <w:ilvl w:val="0"/>
                <w:numId w:val="2"/>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拍卖成交价格即为该专利权的处置价格；</w:t>
            </w:r>
          </w:p>
          <w:p>
            <w:pPr>
              <w:numPr>
                <w:ilvl w:val="0"/>
                <w:numId w:val="2"/>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同意拍卖成交价格的10%计入专利转让成本，并在计算收益分配前扣除；</w:t>
            </w:r>
          </w:p>
          <w:p>
            <w:pPr>
              <w:numPr>
                <w:ilvl w:val="0"/>
                <w:numId w:val="2"/>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同意按照大连海洋大学相关规定进行收益分配，并不再向学校声索其它权益。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2"/>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建议拍卖底价</w:t>
            </w:r>
          </w:p>
        </w:tc>
        <w:tc>
          <w:tcPr>
            <w:tcW w:w="7387" w:type="dxa"/>
            <w:gridSpan w:val="3"/>
          </w:tcPr>
          <w:p>
            <w:pPr>
              <w:numPr>
                <w:ilvl w:val="0"/>
                <w:numId w:val="0"/>
              </w:numPr>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人民币：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2"/>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处置方式</w:t>
            </w:r>
          </w:p>
        </w:tc>
        <w:tc>
          <w:tcPr>
            <w:tcW w:w="7387" w:type="dxa"/>
            <w:gridSpan w:val="3"/>
          </w:tcPr>
          <w:p>
            <w:pPr>
              <w:numPr>
                <w:ilvl w:val="0"/>
                <w:numId w:val="0"/>
              </w:numPr>
              <w:jc w:val="left"/>
              <w:rPr>
                <w:rFonts w:hint="default" w:ascii="仿宋_GB2312" w:hAnsi="仿宋_GB2312" w:eastAsia="仿宋_GB2312" w:cs="仿宋_GB2312"/>
                <w:sz w:val="28"/>
                <w:szCs w:val="28"/>
                <w:vertAlign w:val="baseline"/>
                <w:lang w:val="en-US" w:eastAsia="zh-CN"/>
              </w:rPr>
            </w:pPr>
            <w:r>
              <w:rPr>
                <w:rFonts w:hint="eastAsia" w:ascii="宋体" w:hAnsi="宋体" w:eastAsia="宋体" w:cs="宋体"/>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专利权转让  </w:t>
            </w:r>
            <w:r>
              <w:rPr>
                <w:rFonts w:hint="eastAsia" w:ascii="宋体" w:hAnsi="宋体" w:eastAsia="宋体" w:cs="宋体"/>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专利权实施许可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6" w:type="dxa"/>
            <w:gridSpan w:val="5"/>
          </w:tcPr>
          <w:p>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全体发明人信息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4400" w:type="dxa"/>
            <w:gridSpan w:val="2"/>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工作单位</w:t>
            </w:r>
          </w:p>
        </w:tc>
        <w:tc>
          <w:tcPr>
            <w:tcW w:w="1800" w:type="dxa"/>
          </w:tcPr>
          <w:p>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w:t>
            </w:r>
          </w:p>
        </w:tc>
        <w:tc>
          <w:tcPr>
            <w:tcW w:w="1687" w:type="dxa"/>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bl>
    <w:p>
      <w:pPr>
        <w:numPr>
          <w:ilvl w:val="0"/>
          <w:numId w:val="0"/>
        </w:numPr>
        <w:rPr>
          <w:rFonts w:hint="default" w:ascii="仿宋_GB2312" w:hAnsi="仿宋_GB2312" w:eastAsia="仿宋_GB2312" w:cs="仿宋_GB2312"/>
          <w:sz w:val="32"/>
          <w:szCs w:val="32"/>
          <w:lang w:val="en-US" w:eastAsia="zh-CN"/>
        </w:rPr>
        <w:sectPr>
          <w:pgSz w:w="11906" w:h="16838"/>
          <w:pgMar w:top="1440" w:right="1066" w:bottom="1440" w:left="1380" w:header="851" w:footer="992" w:gutter="0"/>
          <w:cols w:space="425" w:num="1"/>
          <w:docGrid w:type="lines" w:linePitch="312" w:charSpace="0"/>
        </w:sect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numPr>
          <w:ilvl w:val="0"/>
          <w:numId w:val="0"/>
        </w:numPr>
        <w:jc w:val="center"/>
        <w:rPr>
          <w:rFonts w:hint="eastAsia" w:ascii="仿宋_GB2312" w:hAnsi="仿宋_GB2312" w:eastAsia="仿宋_GB2312" w:cs="仿宋_GB2312"/>
          <w:sz w:val="32"/>
          <w:szCs w:val="32"/>
          <w:lang w:val="en-US" w:eastAsia="zh-CN"/>
        </w:rPr>
      </w:pPr>
      <w:r>
        <w:rPr>
          <w:rFonts w:hint="eastAsia" w:ascii="华文中宋" w:hAnsi="华文中宋" w:eastAsia="华文中宋" w:cs="华文中宋"/>
          <w:sz w:val="32"/>
          <w:szCs w:val="32"/>
          <w:lang w:val="en-US" w:eastAsia="zh-CN"/>
        </w:rPr>
        <w:t>大连海洋大学职务专利暂缓处置申请表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500"/>
        <w:gridCol w:w="3900"/>
        <w:gridCol w:w="180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专利名称</w:t>
            </w: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专利类型</w:t>
            </w: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申请日</w:t>
            </w: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授权公告日</w:t>
            </w: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权利人</w:t>
            </w:r>
          </w:p>
        </w:tc>
        <w:tc>
          <w:tcPr>
            <w:tcW w:w="7887" w:type="dxa"/>
            <w:gridSpan w:val="4"/>
          </w:tcPr>
          <w:p>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大连海洋大学</w:t>
            </w:r>
          </w:p>
          <w:p>
            <w:pPr>
              <w:numPr>
                <w:ilvl w:val="0"/>
                <w:numId w:val="0"/>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（签字）</w:t>
            </w:r>
            <w:r>
              <w:rPr>
                <w:rFonts w:hint="eastAsia" w:ascii="黑体" w:hAnsi="黑体" w:eastAsia="黑体" w:cs="黑体"/>
                <w:sz w:val="21"/>
                <w:szCs w:val="21"/>
                <w:vertAlign w:val="baseline"/>
                <w:lang w:val="en-US" w:eastAsia="zh-CN"/>
              </w:rPr>
              <w:t>注：第一发明人为权利人时，本人须签字确认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9676" w:type="dxa"/>
            <w:gridSpan w:val="5"/>
          </w:tcPr>
          <w:p>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经全体发明人研究，本专利暂不参加学校组织的专利拍卖活动，并做出如下声明：</w:t>
            </w:r>
          </w:p>
          <w:p>
            <w:pPr>
              <w:numPr>
                <w:ilvl w:val="0"/>
                <w:numId w:val="3"/>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承诺该专利权有效期间，该专利的权利维持费（年费）仅由发明人所承担的相关横向科研项目经费列支，无相关横向科研项目经费可列支时，由发明人个人支付；</w:t>
            </w:r>
          </w:p>
          <w:p>
            <w:pPr>
              <w:numPr>
                <w:ilvl w:val="0"/>
                <w:numId w:val="3"/>
              </w:num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该专利权取得收益前，不向学校声索其它权益。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2"/>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暂缓处置理由</w:t>
            </w:r>
          </w:p>
        </w:tc>
        <w:tc>
          <w:tcPr>
            <w:tcW w:w="7387" w:type="dxa"/>
            <w:gridSpan w:val="3"/>
          </w:tcPr>
          <w:p>
            <w:pPr>
              <w:numPr>
                <w:ilvl w:val="0"/>
                <w:numId w:val="0"/>
              </w:numPr>
              <w:jc w:val="left"/>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6" w:type="dxa"/>
            <w:gridSpan w:val="5"/>
          </w:tcPr>
          <w:p>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全体发明人信息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4400" w:type="dxa"/>
            <w:gridSpan w:val="2"/>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工作单位</w:t>
            </w:r>
          </w:p>
        </w:tc>
        <w:tc>
          <w:tcPr>
            <w:tcW w:w="1800" w:type="dxa"/>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w:t>
            </w:r>
          </w:p>
        </w:tc>
        <w:tc>
          <w:tcPr>
            <w:tcW w:w="1687" w:type="dxa"/>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bookmarkStart w:id="0" w:name="_GoBack"/>
            <w:bookmarkEnd w:id="0"/>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numPr>
                <w:ilvl w:val="0"/>
                <w:numId w:val="0"/>
              </w:numPr>
              <w:rPr>
                <w:rFonts w:hint="eastAsia" w:ascii="仿宋_GB2312" w:hAnsi="仿宋_GB2312" w:eastAsia="仿宋_GB2312" w:cs="仿宋_GB2312"/>
                <w:sz w:val="28"/>
                <w:szCs w:val="28"/>
                <w:vertAlign w:val="baseline"/>
                <w:lang w:val="en-US" w:eastAsia="zh-CN"/>
              </w:rPr>
            </w:pPr>
          </w:p>
        </w:tc>
        <w:tc>
          <w:tcPr>
            <w:tcW w:w="4400" w:type="dxa"/>
            <w:gridSpan w:val="2"/>
          </w:tcPr>
          <w:p>
            <w:pPr>
              <w:numPr>
                <w:ilvl w:val="0"/>
                <w:numId w:val="0"/>
              </w:numPr>
              <w:rPr>
                <w:rFonts w:hint="eastAsia" w:ascii="仿宋_GB2312" w:hAnsi="仿宋_GB2312" w:eastAsia="仿宋_GB2312" w:cs="仿宋_GB2312"/>
                <w:sz w:val="28"/>
                <w:szCs w:val="28"/>
                <w:vertAlign w:val="baseline"/>
                <w:lang w:val="en-US" w:eastAsia="zh-CN"/>
              </w:rPr>
            </w:pPr>
          </w:p>
        </w:tc>
        <w:tc>
          <w:tcPr>
            <w:tcW w:w="1800" w:type="dxa"/>
          </w:tcPr>
          <w:p>
            <w:pPr>
              <w:numPr>
                <w:ilvl w:val="0"/>
                <w:numId w:val="0"/>
              </w:numPr>
              <w:rPr>
                <w:rFonts w:hint="default" w:ascii="仿宋_GB2312" w:hAnsi="仿宋_GB2312" w:eastAsia="仿宋_GB2312" w:cs="仿宋_GB2312"/>
                <w:sz w:val="28"/>
                <w:szCs w:val="28"/>
                <w:vertAlign w:val="baseline"/>
                <w:lang w:val="en-US" w:eastAsia="zh-CN"/>
              </w:rPr>
            </w:pPr>
          </w:p>
        </w:tc>
        <w:tc>
          <w:tcPr>
            <w:tcW w:w="1687" w:type="dxa"/>
          </w:tcPr>
          <w:p>
            <w:pPr>
              <w:numPr>
                <w:ilvl w:val="0"/>
                <w:numId w:val="0"/>
              </w:numPr>
              <w:rPr>
                <w:rFonts w:hint="default" w:ascii="仿宋_GB2312" w:hAnsi="仿宋_GB2312" w:eastAsia="仿宋_GB2312" w:cs="仿宋_GB2312"/>
                <w:sz w:val="28"/>
                <w:szCs w:val="28"/>
                <w:vertAlign w:val="baseline"/>
                <w:lang w:val="en-US" w:eastAsia="zh-CN"/>
              </w:rPr>
            </w:pPr>
          </w:p>
        </w:tc>
      </w:tr>
    </w:tbl>
    <w:p>
      <w:pPr>
        <w:numPr>
          <w:ilvl w:val="0"/>
          <w:numId w:val="0"/>
        </w:numPr>
        <w:rPr>
          <w:rFonts w:hint="default" w:ascii="仿宋_GB2312" w:hAnsi="仿宋_GB2312" w:eastAsia="仿宋_GB2312" w:cs="仿宋_GB2312"/>
          <w:sz w:val="32"/>
          <w:szCs w:val="32"/>
          <w:lang w:val="en-US" w:eastAsia="zh-CN"/>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C79FB"/>
    <w:multiLevelType w:val="singleLevel"/>
    <w:tmpl w:val="B08C79FB"/>
    <w:lvl w:ilvl="0" w:tentative="0">
      <w:start w:val="1"/>
      <w:numFmt w:val="decimal"/>
      <w:suff w:val="nothing"/>
      <w:lvlText w:val="%1、"/>
      <w:lvlJc w:val="left"/>
    </w:lvl>
  </w:abstractNum>
  <w:abstractNum w:abstractNumId="1">
    <w:nsid w:val="D941AC26"/>
    <w:multiLevelType w:val="singleLevel"/>
    <w:tmpl w:val="D941AC26"/>
    <w:lvl w:ilvl="0" w:tentative="0">
      <w:start w:val="1"/>
      <w:numFmt w:val="chineseCounting"/>
      <w:suff w:val="nothing"/>
      <w:lvlText w:val="%1、"/>
      <w:lvlJc w:val="left"/>
      <w:rPr>
        <w:rFonts w:hint="eastAsia"/>
      </w:rPr>
    </w:lvl>
  </w:abstractNum>
  <w:abstractNum w:abstractNumId="2">
    <w:nsid w:val="111AC701"/>
    <w:multiLevelType w:val="singleLevel"/>
    <w:tmpl w:val="111AC70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A3D43"/>
    <w:rsid w:val="057431B0"/>
    <w:rsid w:val="54DA3D43"/>
    <w:rsid w:val="63FA6405"/>
    <w:rsid w:val="68EF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2020-05-19T04:29:00Z</dcterms:created>
  <dc:creator>＊＊</dc:creator>
  <cp:lastModifiedBy>韩蕾</cp:lastModifiedBy>
  <dcterms:modified xsi:type="dcterms:W3CDTF">2020-05-25T07:16:40Z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